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D4BE" w14:textId="77777777" w:rsidR="00CD0340" w:rsidRPr="00CD0340" w:rsidRDefault="00CD0340" w:rsidP="00CD0340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47160AF" w14:textId="3C4E415C" w:rsidR="00CD0340" w:rsidRPr="00CD0340" w:rsidRDefault="00CD0340" w:rsidP="00CD0340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D0340">
        <w:rPr>
          <w:rFonts w:ascii="Times New Roman" w:hAnsi="Times New Roman"/>
          <w:sz w:val="28"/>
          <w:szCs w:val="28"/>
        </w:rPr>
        <w:t xml:space="preserve">Наказ </w:t>
      </w:r>
      <w:proofErr w:type="spellStart"/>
      <w:r w:rsidR="00B04D1E">
        <w:rPr>
          <w:rFonts w:ascii="Times New Roman" w:hAnsi="Times New Roman"/>
          <w:sz w:val="28"/>
          <w:szCs w:val="28"/>
        </w:rPr>
        <w:t>т.в.о</w:t>
      </w:r>
      <w:proofErr w:type="spellEnd"/>
      <w:r w:rsidR="00B04D1E">
        <w:rPr>
          <w:rFonts w:ascii="Times New Roman" w:hAnsi="Times New Roman"/>
          <w:sz w:val="28"/>
          <w:szCs w:val="28"/>
        </w:rPr>
        <w:t xml:space="preserve">. </w:t>
      </w:r>
      <w:r w:rsidRPr="00CD0340">
        <w:rPr>
          <w:rFonts w:ascii="Times New Roman" w:hAnsi="Times New Roman"/>
          <w:sz w:val="28"/>
          <w:szCs w:val="28"/>
        </w:rPr>
        <w:t xml:space="preserve">начальника територіального управління  Служби судової охорони </w:t>
      </w:r>
    </w:p>
    <w:p w14:paraId="0C96BD2B" w14:textId="77777777" w:rsidR="00CD0340" w:rsidRPr="00CD0340" w:rsidRDefault="00CD0340" w:rsidP="00CD0340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CD0340"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0DE3D8D1" w14:textId="5A317E82" w:rsidR="00CD0340" w:rsidRPr="00924C93" w:rsidRDefault="00CD0340" w:rsidP="00CD0340">
      <w:pPr>
        <w:widowControl w:val="0"/>
        <w:autoSpaceDE w:val="0"/>
        <w:autoSpaceDN w:val="0"/>
        <w:spacing w:before="2" w:after="0" w:line="240" w:lineRule="auto"/>
        <w:ind w:left="5040" w:firstLine="720"/>
        <w:rPr>
          <w:rFonts w:ascii="Times New Roman" w:eastAsia="Times New Roman" w:hAnsi="Times New Roman"/>
          <w:color w:val="FF0000"/>
          <w:sz w:val="28"/>
          <w:szCs w:val="28"/>
          <w:lang w:val="ru-RU" w:eastAsia="uk-UA" w:bidi="uk-UA"/>
        </w:rPr>
      </w:pPr>
      <w:r w:rsidRPr="00CD0340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 </w:t>
      </w:r>
      <w:r w:rsidR="00924C93">
        <w:rPr>
          <w:rFonts w:ascii="Times New Roman" w:eastAsia="Times New Roman" w:hAnsi="Times New Roman"/>
          <w:sz w:val="28"/>
          <w:szCs w:val="28"/>
          <w:lang w:eastAsia="uk-UA" w:bidi="uk-UA"/>
        </w:rPr>
        <w:t>1</w:t>
      </w:r>
      <w:r w:rsidR="00AE48C4">
        <w:rPr>
          <w:rFonts w:ascii="Times New Roman" w:eastAsia="Times New Roman" w:hAnsi="Times New Roman"/>
          <w:sz w:val="28"/>
          <w:szCs w:val="28"/>
          <w:lang w:eastAsia="uk-UA" w:bidi="uk-UA"/>
        </w:rPr>
        <w:t>9</w:t>
      </w:r>
      <w:r w:rsidRPr="00CD0340">
        <w:rPr>
          <w:rFonts w:ascii="Times New Roman" w:eastAsia="Times New Roman" w:hAnsi="Times New Roman"/>
          <w:sz w:val="28"/>
          <w:szCs w:val="28"/>
          <w:lang w:eastAsia="uk-UA" w:bidi="uk-UA"/>
        </w:rPr>
        <w:t>.</w:t>
      </w:r>
      <w:r w:rsidR="00924C93">
        <w:rPr>
          <w:rFonts w:ascii="Times New Roman" w:eastAsia="Times New Roman" w:hAnsi="Times New Roman"/>
          <w:sz w:val="28"/>
          <w:szCs w:val="28"/>
          <w:lang w:eastAsia="uk-UA" w:bidi="uk-UA"/>
        </w:rPr>
        <w:t>03</w:t>
      </w:r>
      <w:r w:rsidRPr="00CD0340">
        <w:rPr>
          <w:rFonts w:ascii="Times New Roman" w:eastAsia="Times New Roman" w:hAnsi="Times New Roman"/>
          <w:sz w:val="28"/>
          <w:szCs w:val="28"/>
          <w:lang w:eastAsia="uk-UA" w:bidi="uk-UA"/>
        </w:rPr>
        <w:t>.202</w:t>
      </w:r>
      <w:r w:rsidR="00924C93">
        <w:rPr>
          <w:rFonts w:ascii="Times New Roman" w:eastAsia="Times New Roman" w:hAnsi="Times New Roman"/>
          <w:sz w:val="28"/>
          <w:szCs w:val="28"/>
          <w:lang w:eastAsia="uk-UA" w:bidi="uk-UA"/>
        </w:rPr>
        <w:t>1</w:t>
      </w:r>
      <w:r w:rsidRPr="00CD0340">
        <w:rPr>
          <w:rFonts w:ascii="Times New Roman" w:eastAsia="Times New Roman" w:hAnsi="Times New Roman"/>
          <w:sz w:val="28"/>
          <w:szCs w:val="28"/>
          <w:lang w:val="ru-RU" w:eastAsia="uk-UA" w:bidi="uk-UA"/>
        </w:rPr>
        <w:t xml:space="preserve"> </w:t>
      </w:r>
      <w:r w:rsidRPr="00CD0340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№ </w:t>
      </w:r>
      <w:r w:rsidR="00AE48C4">
        <w:rPr>
          <w:rFonts w:ascii="Times New Roman" w:eastAsia="Times New Roman" w:hAnsi="Times New Roman"/>
          <w:sz w:val="28"/>
          <w:szCs w:val="28"/>
          <w:lang w:eastAsia="uk-UA" w:bidi="uk-UA"/>
        </w:rPr>
        <w:t>75</w:t>
      </w:r>
    </w:p>
    <w:p w14:paraId="4D3B55C3" w14:textId="7855F0C1" w:rsidR="008736F8" w:rsidRPr="00C718C5" w:rsidRDefault="008736F8" w:rsidP="008736F8">
      <w:pPr>
        <w:pStyle w:val="af1"/>
        <w:spacing w:before="2"/>
        <w:ind w:left="5040" w:firstLine="720"/>
        <w:jc w:val="left"/>
      </w:pPr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04CFDD42" w14:textId="246A36A4" w:rsidR="00CB1FD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контролера І категорії </w:t>
      </w:r>
      <w:bookmarkStart w:id="0" w:name="_Hlk40440163"/>
      <w:r w:rsidR="00924C93">
        <w:rPr>
          <w:rFonts w:ascii="Times New Roman" w:hAnsi="Times New Roman"/>
          <w:b/>
          <w:sz w:val="28"/>
          <w:szCs w:val="28"/>
        </w:rPr>
        <w:t>другого відділення</w:t>
      </w:r>
      <w:r w:rsidR="00BB2BCB">
        <w:rPr>
          <w:rFonts w:ascii="Times New Roman" w:hAnsi="Times New Roman"/>
          <w:b/>
          <w:sz w:val="28"/>
          <w:szCs w:val="28"/>
        </w:rPr>
        <w:t xml:space="preserve"> другого взводу</w:t>
      </w:r>
      <w:r w:rsidR="00924C93">
        <w:rPr>
          <w:rFonts w:ascii="Times New Roman" w:hAnsi="Times New Roman"/>
          <w:b/>
          <w:sz w:val="28"/>
          <w:szCs w:val="28"/>
        </w:rPr>
        <w:t xml:space="preserve"> </w:t>
      </w:r>
      <w:r w:rsidR="00B52D45" w:rsidRPr="00C718C5">
        <w:rPr>
          <w:rFonts w:ascii="Times New Roman" w:hAnsi="Times New Roman"/>
          <w:b/>
          <w:sz w:val="28"/>
          <w:szCs w:val="28"/>
        </w:rPr>
        <w:t xml:space="preserve">першого </w:t>
      </w:r>
      <w:r w:rsidRPr="00C718C5">
        <w:rPr>
          <w:rFonts w:ascii="Times New Roman" w:hAnsi="Times New Roman"/>
          <w:b/>
          <w:sz w:val="28"/>
          <w:szCs w:val="28"/>
        </w:rPr>
        <w:t>підрозділу охорони 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</w:p>
    <w:p w14:paraId="7915EBC3" w14:textId="379C5E06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  <w:r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0"/>
    <w:p w14:paraId="16D05F47" w14:textId="5E956AC3" w:rsidR="00CB1FD1" w:rsidRPr="00C718C5" w:rsidRDefault="00CB1FD1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(з місцем дислокації у </w:t>
      </w:r>
      <w:r w:rsidR="00C718C5"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м</w:t>
      </w:r>
      <w:r w:rsidR="00BB2BCB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.</w:t>
      </w:r>
      <w:r w:rsidR="00C718C5"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 </w:t>
      </w:r>
      <w:r w:rsidR="00BB2BCB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Чернігові</w:t>
      </w: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)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451D1587" w:rsidR="00D33F31" w:rsidRDefault="00D33F31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посадові обов’язки контролера І категорії: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6EC736E6" w14:textId="77777777" w:rsidR="00501F11" w:rsidRPr="00501F11" w:rsidRDefault="00501F11" w:rsidP="0050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F11">
        <w:rPr>
          <w:rFonts w:ascii="Times New Roman" w:hAnsi="Times New Roman"/>
          <w:sz w:val="28"/>
          <w:szCs w:val="28"/>
        </w:rPr>
        <w:t xml:space="preserve">1) </w:t>
      </w:r>
      <w:r w:rsidRPr="00501F11">
        <w:rPr>
          <w:rFonts w:ascii="Times New Roman" w:hAnsi="Times New Roman"/>
          <w:sz w:val="28"/>
          <w:szCs w:val="28"/>
          <w:shd w:val="clear" w:color="auto" w:fill="FFFFFF"/>
        </w:rPr>
        <w:t>здійснює завдання по забезпеченню охорони судів, органів та установ системи правосуддя</w:t>
      </w:r>
      <w:r w:rsidRPr="00501F11">
        <w:rPr>
          <w:rFonts w:ascii="Times New Roman" w:hAnsi="Times New Roman"/>
          <w:sz w:val="28"/>
          <w:szCs w:val="28"/>
        </w:rPr>
        <w:t>;</w:t>
      </w:r>
    </w:p>
    <w:p w14:paraId="6B92154E" w14:textId="0308A2AF" w:rsidR="00501F11" w:rsidRPr="00501F11" w:rsidRDefault="00501F11" w:rsidP="00501F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F11">
        <w:rPr>
          <w:rFonts w:ascii="Times New Roman" w:hAnsi="Times New Roman"/>
          <w:sz w:val="28"/>
          <w:szCs w:val="28"/>
        </w:rPr>
        <w:t>2)</w:t>
      </w:r>
      <w:r w:rsidR="00B04D1E">
        <w:rPr>
          <w:rFonts w:ascii="Times New Roman" w:hAnsi="Times New Roman"/>
          <w:sz w:val="28"/>
          <w:szCs w:val="28"/>
        </w:rPr>
        <w:t> </w:t>
      </w:r>
      <w:r w:rsidRPr="00501F11">
        <w:rPr>
          <w:rFonts w:ascii="Times New Roman" w:hAnsi="Times New Roman"/>
          <w:sz w:val="28"/>
          <w:szCs w:val="28"/>
        </w:rPr>
        <w:t>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14:paraId="5E4845FF" w14:textId="77777777" w:rsidR="00501F11" w:rsidRPr="00501F11" w:rsidRDefault="00501F11" w:rsidP="00501F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n1897"/>
      <w:bookmarkEnd w:id="1"/>
      <w:r w:rsidRPr="00501F11">
        <w:rPr>
          <w:rFonts w:ascii="Times New Roman" w:hAnsi="Times New Roman"/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14:paraId="15B240CC" w14:textId="77777777" w:rsidR="00501F11" w:rsidRPr="00501F11" w:rsidRDefault="00501F11" w:rsidP="00501F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n1898"/>
      <w:bookmarkEnd w:id="2"/>
      <w:r w:rsidRPr="00501F11">
        <w:rPr>
          <w:rFonts w:ascii="Times New Roman" w:hAnsi="Times New Roman"/>
          <w:sz w:val="28"/>
          <w:szCs w:val="28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14:paraId="726CA0EE" w14:textId="77777777" w:rsidR="00501F11" w:rsidRPr="00501F11" w:rsidRDefault="00501F11" w:rsidP="00501F1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01F11">
        <w:rPr>
          <w:rFonts w:ascii="Times New Roman" w:hAnsi="Times New Roman"/>
          <w:sz w:val="28"/>
          <w:szCs w:val="28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501F11">
        <w:rPr>
          <w:rFonts w:ascii="Times New Roman" w:hAnsi="Times New Roman"/>
          <w:noProof/>
          <w:sz w:val="28"/>
          <w:szCs w:val="28"/>
        </w:rPr>
        <w:t xml:space="preserve"> приміщень суду, органу й установи системи правосуддя.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2E53800A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9F31FD" w:rsidRPr="00C718C5">
        <w:rPr>
          <w:rFonts w:ascii="Times New Roman" w:hAnsi="Times New Roman"/>
          <w:sz w:val="28"/>
        </w:rPr>
        <w:t>260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lastRenderedPageBreak/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bookmarkStart w:id="3" w:name="_GoBack"/>
      <w:bookmarkEnd w:id="3"/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FDBBCF6" w14:textId="0100ABC5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з 09.00 </w:t>
      </w:r>
      <w:r w:rsidR="00F26597">
        <w:rPr>
          <w:rFonts w:ascii="Times New Roman" w:eastAsia="Times New Roman" w:hAnsi="Times New Roman"/>
          <w:b/>
          <w:bCs/>
          <w:sz w:val="28"/>
          <w:lang w:eastAsia="uk-UA" w:bidi="uk-UA"/>
        </w:rPr>
        <w:t>22</w:t>
      </w:r>
      <w:r w:rsidR="00C00998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березня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F26597">
        <w:rPr>
          <w:rFonts w:ascii="Times New Roman" w:eastAsia="Times New Roman" w:hAnsi="Times New Roman"/>
          <w:b/>
          <w:bCs/>
          <w:sz w:val="28"/>
          <w:lang w:eastAsia="uk-UA" w:bidi="uk-UA"/>
        </w:rPr>
        <w:t>31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березня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     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5A3F5F00" w:rsidR="00E0670F" w:rsidRPr="00C718C5" w:rsidRDefault="00F26597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05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квіт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>ня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 - 09.00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</w:t>
      </w:r>
      <w:r w:rsidR="00021099">
        <w:rPr>
          <w:rFonts w:ascii="Times New Roman" w:eastAsia="Times New Roman" w:hAnsi="Times New Roman"/>
          <w:sz w:val="28"/>
          <w:lang w:eastAsia="uk-UA" w:bidi="uk-UA"/>
        </w:rPr>
        <w:t>, кабінет № 19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). 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2C2A9201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Pr="00C718C5">
        <w:rPr>
          <w:rFonts w:ascii="Times New Roman" w:hAnsi="Times New Roman"/>
          <w:b/>
          <w:sz w:val="28"/>
        </w:rPr>
        <w:t xml:space="preserve">Іванов Дмитро Миколайович, </w:t>
      </w:r>
      <w:proofErr w:type="spellStart"/>
      <w:r w:rsidRPr="00C718C5">
        <w:rPr>
          <w:rFonts w:ascii="Times New Roman" w:hAnsi="Times New Roman"/>
          <w:b/>
          <w:sz w:val="28"/>
        </w:rPr>
        <w:t>тел</w:t>
      </w:r>
      <w:proofErr w:type="spellEnd"/>
      <w:r w:rsidRPr="00C718C5">
        <w:rPr>
          <w:rFonts w:ascii="Times New Roman" w:hAnsi="Times New Roman"/>
          <w:b/>
          <w:sz w:val="28"/>
        </w:rPr>
        <w:t>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77777777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6CE872B3" w14:textId="482D7B73" w:rsidR="005F5886" w:rsidRPr="00C718C5" w:rsidRDefault="005F5886" w:rsidP="005F5886">
            <w:pPr>
              <w:pStyle w:val="af4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718C5">
              <w:rPr>
                <w:sz w:val="28"/>
                <w:szCs w:val="28"/>
              </w:rPr>
              <w:t>у державних органах влади, органах системи правосуддя або досвід проходження служби у правоохоронних органах чи військових формуваннях - не менше ніж 1 рік</w:t>
            </w:r>
          </w:p>
          <w:p w14:paraId="430CADDA" w14:textId="13E5D2A2" w:rsidR="00AB6B93" w:rsidRPr="00C80C9C" w:rsidRDefault="00601508" w:rsidP="00AB6B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0C9C">
              <w:rPr>
                <w:rFonts w:ascii="Times New Roman" w:hAnsi="Times New Roman"/>
                <w:b/>
                <w:sz w:val="28"/>
                <w:szCs w:val="28"/>
              </w:rPr>
              <w:t xml:space="preserve">(надати </w:t>
            </w:r>
            <w:r w:rsidR="00F50ADC" w:rsidRPr="00C80C9C">
              <w:rPr>
                <w:rFonts w:ascii="Times New Roman" w:hAnsi="Times New Roman"/>
                <w:b/>
                <w:sz w:val="28"/>
                <w:szCs w:val="28"/>
              </w:rPr>
              <w:t>підтверджуючи документи)</w:t>
            </w:r>
            <w:r w:rsidR="00C80C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030C121D" w14:textId="77777777" w:rsidR="0051227C" w:rsidRPr="00C718C5" w:rsidRDefault="0051227C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DC6F0" w14:textId="77777777" w:rsidR="00362E10" w:rsidRDefault="00362E10" w:rsidP="000B43BC">
      <w:pPr>
        <w:spacing w:after="0" w:line="240" w:lineRule="auto"/>
      </w:pPr>
      <w:r>
        <w:separator/>
      </w:r>
    </w:p>
  </w:endnote>
  <w:endnote w:type="continuationSeparator" w:id="0">
    <w:p w14:paraId="5A190401" w14:textId="77777777" w:rsidR="00362E10" w:rsidRDefault="00362E10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9A478" w14:textId="77777777" w:rsidR="00362E10" w:rsidRDefault="00362E10" w:rsidP="000B43BC">
      <w:pPr>
        <w:spacing w:after="0" w:line="240" w:lineRule="auto"/>
      </w:pPr>
      <w:r>
        <w:separator/>
      </w:r>
    </w:p>
  </w:footnote>
  <w:footnote w:type="continuationSeparator" w:id="0">
    <w:p w14:paraId="7E0441F9" w14:textId="77777777" w:rsidR="00362E10" w:rsidRDefault="00362E10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5E0C"/>
    <w:rsid w:val="002B05D2"/>
    <w:rsid w:val="002C10E4"/>
    <w:rsid w:val="002C1EF8"/>
    <w:rsid w:val="002D136A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D0E38"/>
    <w:rsid w:val="005E14EB"/>
    <w:rsid w:val="005E1905"/>
    <w:rsid w:val="005E4472"/>
    <w:rsid w:val="005E4AB4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93ABE"/>
    <w:rsid w:val="006C2A4F"/>
    <w:rsid w:val="006C6697"/>
    <w:rsid w:val="006D1099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50829"/>
    <w:rsid w:val="00852D39"/>
    <w:rsid w:val="008558D5"/>
    <w:rsid w:val="00857FB2"/>
    <w:rsid w:val="00864345"/>
    <w:rsid w:val="00870C7E"/>
    <w:rsid w:val="008736F8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61AD"/>
    <w:rsid w:val="00C91F8A"/>
    <w:rsid w:val="00CA1AB7"/>
    <w:rsid w:val="00CA5F4F"/>
    <w:rsid w:val="00CB1FD1"/>
    <w:rsid w:val="00CB6703"/>
    <w:rsid w:val="00CC29C0"/>
    <w:rsid w:val="00CD0340"/>
    <w:rsid w:val="00CD26E5"/>
    <w:rsid w:val="00CD6647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48CD-63DF-475F-923B-3BE22901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4621</Words>
  <Characters>2635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41</cp:revision>
  <cp:lastPrinted>2019-10-15T12:40:00Z</cp:lastPrinted>
  <dcterms:created xsi:type="dcterms:W3CDTF">2020-10-12T08:55:00Z</dcterms:created>
  <dcterms:modified xsi:type="dcterms:W3CDTF">2021-03-19T07:23:00Z</dcterms:modified>
</cp:coreProperties>
</file>