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6D230" w14:textId="77777777" w:rsidR="004A3D1E" w:rsidRPr="004D44C1" w:rsidRDefault="004A3D1E" w:rsidP="004A3D1E">
      <w:pPr>
        <w:ind w:left="5812" w:right="0" w:firstLine="0"/>
        <w:jc w:val="left"/>
        <w:rPr>
          <w:rFonts w:ascii="Times New Roman" w:hAnsi="Times New Roman"/>
          <w:b/>
          <w:sz w:val="28"/>
          <w:szCs w:val="28"/>
        </w:rPr>
      </w:pPr>
      <w:r w:rsidRPr="004D44C1">
        <w:rPr>
          <w:rFonts w:ascii="Times New Roman" w:hAnsi="Times New Roman"/>
          <w:b/>
          <w:sz w:val="28"/>
          <w:szCs w:val="28"/>
        </w:rPr>
        <w:t>ЗАТВЕРДЖЕНО</w:t>
      </w:r>
    </w:p>
    <w:p w14:paraId="471A2E50" w14:textId="77777777" w:rsidR="004A3D1E" w:rsidRPr="004D44C1" w:rsidRDefault="004A3D1E" w:rsidP="004A3D1E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 w:rsidRPr="004D44C1"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526F99B7" w14:textId="77777777" w:rsidR="004A3D1E" w:rsidRPr="004D44C1" w:rsidRDefault="004A3D1E" w:rsidP="004A3D1E">
      <w:pPr>
        <w:ind w:left="5812" w:right="0" w:firstLine="0"/>
        <w:jc w:val="left"/>
        <w:rPr>
          <w:rFonts w:ascii="Times New Roman" w:hAnsi="Times New Roman"/>
          <w:sz w:val="28"/>
          <w:szCs w:val="28"/>
        </w:rPr>
      </w:pPr>
      <w:r w:rsidRPr="004D44C1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1E68D57A" w14:textId="3B275CE1" w:rsidR="004A3D1E" w:rsidRPr="004D44C1" w:rsidRDefault="004A3D1E" w:rsidP="004A3D1E">
      <w:pPr>
        <w:widowControl w:val="0"/>
        <w:autoSpaceDE w:val="0"/>
        <w:autoSpaceDN w:val="0"/>
        <w:spacing w:before="2"/>
        <w:ind w:left="5040" w:right="0" w:firstLine="720"/>
        <w:jc w:val="left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</w:t>
      </w:r>
      <w:r w:rsidR="00A0489D"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</w:t>
      </w:r>
      <w:r w:rsidR="00EA20B5">
        <w:rPr>
          <w:rFonts w:ascii="Times New Roman" w:eastAsia="Times New Roman" w:hAnsi="Times New Roman"/>
          <w:sz w:val="28"/>
          <w:szCs w:val="28"/>
          <w:lang w:eastAsia="uk-UA" w:bidi="uk-UA"/>
        </w:rPr>
        <w:t>19.11.2020</w:t>
      </w:r>
      <w:r w:rsidR="00016CC5"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</w:t>
      </w:r>
      <w:r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№ </w:t>
      </w:r>
      <w:r w:rsidR="00EA20B5">
        <w:rPr>
          <w:rFonts w:ascii="Times New Roman" w:eastAsia="Times New Roman" w:hAnsi="Times New Roman"/>
          <w:sz w:val="28"/>
          <w:szCs w:val="28"/>
          <w:lang w:eastAsia="uk-UA" w:bidi="uk-UA"/>
        </w:rPr>
        <w:t>2</w:t>
      </w:r>
      <w:r w:rsidR="003E07D0">
        <w:rPr>
          <w:rFonts w:ascii="Times New Roman" w:eastAsia="Times New Roman" w:hAnsi="Times New Roman"/>
          <w:sz w:val="28"/>
          <w:szCs w:val="28"/>
          <w:lang w:eastAsia="uk-UA" w:bidi="uk-UA"/>
        </w:rPr>
        <w:t>29</w:t>
      </w:r>
      <w:bookmarkStart w:id="0" w:name="_GoBack"/>
      <w:bookmarkEnd w:id="0"/>
    </w:p>
    <w:p w14:paraId="4F9F2477" w14:textId="77777777" w:rsidR="00910C3D" w:rsidRPr="004D44C1" w:rsidRDefault="00910C3D" w:rsidP="00910C3D">
      <w:pPr>
        <w:ind w:left="4962"/>
        <w:contextualSpacing/>
        <w:rPr>
          <w:rFonts w:ascii="Times New Roman" w:hAnsi="Times New Roman"/>
          <w:sz w:val="28"/>
          <w:szCs w:val="28"/>
        </w:rPr>
      </w:pPr>
    </w:p>
    <w:p w14:paraId="2746BF7A" w14:textId="77777777" w:rsidR="00910C3D" w:rsidRPr="004D44C1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02C616B" w14:textId="77777777" w:rsidR="00910C3D" w:rsidRPr="004D44C1" w:rsidRDefault="00910C3D" w:rsidP="00910C3D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7B7D8A" w14:textId="77777777" w:rsidR="00E6325A" w:rsidRPr="004D44C1" w:rsidRDefault="00E6325A" w:rsidP="00E6325A">
      <w:pPr>
        <w:ind w:right="0"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D44C1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14:paraId="118C1A09" w14:textId="69A51544" w:rsidR="00E6325A" w:rsidRPr="004D44C1" w:rsidRDefault="00E6325A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проведення конкурсу на зайняття вакантної посади</w:t>
      </w:r>
    </w:p>
    <w:p w14:paraId="3CABDAF6" w14:textId="77777777" w:rsidR="007F123D" w:rsidRDefault="007F123D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7F123D">
        <w:rPr>
          <w:rFonts w:ascii="Times New Roman" w:hAnsi="Times New Roman"/>
          <w:b/>
          <w:sz w:val="28"/>
          <w:szCs w:val="28"/>
          <w:lang w:eastAsia="ru-RU"/>
        </w:rPr>
        <w:t xml:space="preserve">провідного спеціаліста </w:t>
      </w:r>
      <w:r>
        <w:rPr>
          <w:rFonts w:ascii="Times New Roman" w:hAnsi="Times New Roman"/>
          <w:b/>
          <w:sz w:val="28"/>
          <w:szCs w:val="28"/>
          <w:lang w:eastAsia="ru-RU"/>
        </w:rPr>
        <w:t>служби</w:t>
      </w:r>
      <w:r w:rsidRPr="007F123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7F123D">
        <w:rPr>
          <w:rFonts w:ascii="Times New Roman" w:hAnsi="Times New Roman"/>
          <w:b/>
          <w:sz w:val="28"/>
          <w:szCs w:val="28"/>
          <w:lang w:eastAsia="ru-RU"/>
        </w:rPr>
        <w:t>інформаційно-аналітичної роботи</w:t>
      </w:r>
      <w:r w:rsidR="00EA3C4C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E6325A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територіального управління Служби судової охорони </w:t>
      </w:r>
    </w:p>
    <w:p w14:paraId="46CF8B55" w14:textId="2499D5CD" w:rsidR="00E6325A" w:rsidRPr="004D44C1" w:rsidRDefault="00E6325A" w:rsidP="001040D8">
      <w:pPr>
        <w:shd w:val="clear" w:color="auto" w:fill="FFFFFF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у Чернігівській області</w:t>
      </w:r>
    </w:p>
    <w:p w14:paraId="23212155" w14:textId="77777777" w:rsidR="00E6325A" w:rsidRPr="004D44C1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49089178" w14:textId="77777777" w:rsidR="00E6325A" w:rsidRPr="004D44C1" w:rsidRDefault="00E6325A" w:rsidP="00E6325A">
      <w:pPr>
        <w:shd w:val="clear" w:color="auto" w:fill="FFFFFF"/>
        <w:spacing w:after="150"/>
        <w:ind w:right="0" w:firstLine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Загальні умови</w:t>
      </w:r>
    </w:p>
    <w:p w14:paraId="68C18F65" w14:textId="7F69B815" w:rsidR="00E6325A" w:rsidRPr="004D44C1" w:rsidRDefault="00E6325A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1. Основні повноваження </w:t>
      </w:r>
      <w:r w:rsidR="007F123D" w:rsidRPr="007F123D">
        <w:rPr>
          <w:rFonts w:ascii="Times New Roman" w:hAnsi="Times New Roman"/>
          <w:b/>
          <w:sz w:val="28"/>
          <w:szCs w:val="28"/>
          <w:lang w:eastAsia="ru-RU"/>
        </w:rPr>
        <w:t xml:space="preserve">провідного спеціаліста </w:t>
      </w:r>
      <w:r w:rsidR="007F123D">
        <w:rPr>
          <w:rFonts w:ascii="Times New Roman" w:hAnsi="Times New Roman"/>
          <w:b/>
          <w:sz w:val="28"/>
          <w:szCs w:val="28"/>
          <w:lang w:eastAsia="ru-RU"/>
        </w:rPr>
        <w:t>служби</w:t>
      </w:r>
      <w:r w:rsidR="007F123D" w:rsidRPr="007F123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7F123D" w:rsidRPr="007F123D">
        <w:rPr>
          <w:rFonts w:ascii="Times New Roman" w:hAnsi="Times New Roman"/>
          <w:b/>
          <w:sz w:val="28"/>
          <w:szCs w:val="28"/>
          <w:lang w:eastAsia="ru-RU"/>
        </w:rPr>
        <w:t>інформаційно-аналітичної роботи</w:t>
      </w:r>
      <w:r w:rsidR="001040D8"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4D44C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територіального управління Служби судової охорони у Чернігівській області:</w:t>
      </w:r>
    </w:p>
    <w:p w14:paraId="00BE7AA5" w14:textId="77777777" w:rsidR="008B4D24" w:rsidRPr="004D44C1" w:rsidRDefault="008B4D24" w:rsidP="00E6325A">
      <w:pPr>
        <w:shd w:val="clear" w:color="auto" w:fill="FFFFFF"/>
        <w:tabs>
          <w:tab w:val="num" w:pos="0"/>
        </w:tabs>
        <w:ind w:right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1D5E7EC8" w14:textId="77777777" w:rsidR="007F123D" w:rsidRPr="007F123D" w:rsidRDefault="007F123D" w:rsidP="007F123D">
      <w:pPr>
        <w:ind w:right="0"/>
        <w:rPr>
          <w:rFonts w:ascii="Times New Roman" w:hAnsi="Times New Roman"/>
          <w:b/>
          <w:sz w:val="28"/>
          <w:szCs w:val="28"/>
          <w:lang w:eastAsia="ru-RU"/>
        </w:rPr>
      </w:pPr>
      <w:r w:rsidRPr="007F123D">
        <w:rPr>
          <w:rFonts w:ascii="Times New Roman" w:hAnsi="Times New Roman"/>
          <w:sz w:val="28"/>
          <w:szCs w:val="28"/>
        </w:rPr>
        <w:t>1) здійснює роботу  зі збору, аналізу, узагальнення, оцінки та діагностики отриманих даних через взаємопов’язану логічну систему відбору та систематизації інформації про стан оперативного формування та реалізації управлінських рішень;</w:t>
      </w:r>
    </w:p>
    <w:p w14:paraId="4D327521" w14:textId="77777777" w:rsidR="007F123D" w:rsidRPr="007F123D" w:rsidRDefault="007F123D" w:rsidP="007F123D">
      <w:pPr>
        <w:ind w:right="0"/>
        <w:rPr>
          <w:rFonts w:ascii="Times New Roman" w:hAnsi="Times New Roman"/>
          <w:sz w:val="28"/>
          <w:szCs w:val="28"/>
        </w:rPr>
      </w:pPr>
      <w:r w:rsidRPr="007F123D">
        <w:rPr>
          <w:rFonts w:ascii="Times New Roman" w:hAnsi="Times New Roman"/>
          <w:sz w:val="28"/>
          <w:szCs w:val="28"/>
        </w:rPr>
        <w:t>2) в установленому порядку запитує та отримує від структурних</w:t>
      </w:r>
      <w:r w:rsidRPr="007F123D">
        <w:rPr>
          <w:rFonts w:ascii="Times New Roman" w:hAnsi="Times New Roman"/>
          <w:sz w:val="28"/>
          <w:szCs w:val="28"/>
        </w:rPr>
        <w:br/>
        <w:t>підрозділів Управління інформацію, пропозиції, розрахунки та обґрунтування, необхідні для виконання завдань інформаційно-аналітичного забезпечення;</w:t>
      </w:r>
    </w:p>
    <w:p w14:paraId="23C44EDA" w14:textId="77777777" w:rsidR="007F123D" w:rsidRPr="007F123D" w:rsidRDefault="007F123D" w:rsidP="007F123D">
      <w:pPr>
        <w:ind w:right="0"/>
        <w:rPr>
          <w:rFonts w:ascii="Times New Roman" w:hAnsi="Times New Roman"/>
          <w:sz w:val="28"/>
          <w:szCs w:val="28"/>
        </w:rPr>
      </w:pPr>
      <w:r w:rsidRPr="007F123D">
        <w:rPr>
          <w:rFonts w:ascii="Times New Roman" w:hAnsi="Times New Roman"/>
          <w:sz w:val="28"/>
          <w:szCs w:val="28"/>
        </w:rPr>
        <w:t>3) розробляє і бере участь у розробленні проєктів нормативно-правових актів, які стосуються питань управління, та в межах своєї компетенції здійснює їх експертизу;</w:t>
      </w:r>
    </w:p>
    <w:p w14:paraId="3D11CF32" w14:textId="77777777" w:rsidR="007F123D" w:rsidRPr="007F123D" w:rsidRDefault="007F123D" w:rsidP="007F123D">
      <w:pPr>
        <w:ind w:right="0"/>
        <w:rPr>
          <w:rFonts w:ascii="Times New Roman" w:hAnsi="Times New Roman"/>
          <w:sz w:val="28"/>
          <w:szCs w:val="28"/>
        </w:rPr>
      </w:pPr>
      <w:r w:rsidRPr="007F123D">
        <w:rPr>
          <w:rFonts w:ascii="Times New Roman" w:hAnsi="Times New Roman"/>
          <w:sz w:val="28"/>
          <w:szCs w:val="28"/>
        </w:rPr>
        <w:t>4) бере участь у підготовці, за дорученням начальника (заступника), матеріалів щодо результатів розгляду керівництвом Управління звернень і запитів громадян та народних депутатів України, публікацій і повідомлень у засобах масової інформації з питань, що належать до компетенції Служби судової охорони;</w:t>
      </w:r>
    </w:p>
    <w:p w14:paraId="6F468E5F" w14:textId="77777777" w:rsidR="007F123D" w:rsidRPr="007F123D" w:rsidRDefault="007F123D" w:rsidP="007F123D">
      <w:pPr>
        <w:ind w:right="0"/>
        <w:rPr>
          <w:rFonts w:ascii="Times New Roman" w:hAnsi="Times New Roman"/>
          <w:sz w:val="28"/>
          <w:szCs w:val="28"/>
        </w:rPr>
      </w:pPr>
      <w:r w:rsidRPr="007F123D">
        <w:rPr>
          <w:rFonts w:ascii="Times New Roman" w:hAnsi="Times New Roman"/>
          <w:sz w:val="28"/>
          <w:szCs w:val="28"/>
        </w:rPr>
        <w:t>5) готує інформаційно-аналітичні, звітні, довідкові матеріали і статистичні дані щодо діяльності Управління  для начальника (заступника) та за його дорученням – для зацікавлених державних органів.</w:t>
      </w:r>
    </w:p>
    <w:p w14:paraId="56EF64C3" w14:textId="126C6ABC" w:rsidR="001040D8" w:rsidRPr="004D44C1" w:rsidRDefault="001040D8" w:rsidP="008B4D24">
      <w:pPr>
        <w:shd w:val="clear" w:color="auto" w:fill="FFFFFF"/>
        <w:ind w:right="0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5680F75F" w14:textId="0790BEAB" w:rsidR="00BC5D2E" w:rsidRPr="004D44C1" w:rsidRDefault="00BC5D2E" w:rsidP="00BC5D2E">
      <w:pPr>
        <w:widowControl w:val="0"/>
        <w:autoSpaceDE w:val="0"/>
        <w:autoSpaceDN w:val="0"/>
        <w:ind w:right="0" w:firstLine="851"/>
        <w:jc w:val="left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2. Умови оплати праці:</w:t>
      </w:r>
    </w:p>
    <w:p w14:paraId="66E2F80F" w14:textId="360A82B2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8B4D24" w:rsidRPr="004D44C1">
        <w:rPr>
          <w:rFonts w:ascii="Times New Roman" w:eastAsia="Times New Roman" w:hAnsi="Times New Roman"/>
          <w:sz w:val="28"/>
          <w:lang w:eastAsia="uk-UA" w:bidi="uk-UA"/>
        </w:rPr>
        <w:t>5640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гривень;</w:t>
      </w:r>
    </w:p>
    <w:p w14:paraId="2C534AB1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2) грошове забезпечення – відповідно до частини першої статті 165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7CAC7F6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352D1D19" w14:textId="77777777" w:rsidR="004D44C1" w:rsidRPr="004D44C1" w:rsidRDefault="004D44C1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0F2CAF1A" w14:textId="193F8710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3. Інформація про строковість чи безстроковість призначення на посаду:</w:t>
      </w:r>
    </w:p>
    <w:p w14:paraId="4046222E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безстроково. </w:t>
      </w:r>
    </w:p>
    <w:p w14:paraId="23861D85" w14:textId="77777777" w:rsidR="00BC5D2E" w:rsidRPr="004D44C1" w:rsidRDefault="00BC5D2E" w:rsidP="00910C3D">
      <w:pPr>
        <w:ind w:firstLine="851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3BF66B9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1C95551E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27EF191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1AA191B8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436012F0" w14:textId="6876158B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4)</w:t>
      </w:r>
      <w:r w:rsidR="00167426" w:rsidRPr="004D44C1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57C36BE2" w14:textId="699CCD68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1040D8" w:rsidRPr="004D44C1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1040D8" w:rsidRPr="004D44C1">
        <w:rPr>
          <w:rFonts w:ascii="Times New Roman" w:eastAsia="Times New Roman" w:hAnsi="Times New Roman"/>
          <w:sz w:val="28"/>
          <w:lang w:eastAsia="uk-UA" w:bidi="uk-UA"/>
        </w:rPr>
        <w:t xml:space="preserve">подати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7F0EB01D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718741C4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6CF2F88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0347A41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3842E02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89E68D9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70293282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lastRenderedPageBreak/>
        <w:t>пов’язані зі службою в поліції (частина третя статті 163 Закону України «Про судоустрій і статус суддів»).</w:t>
      </w:r>
    </w:p>
    <w:p w14:paraId="0AEDD16C" w14:textId="19837794" w:rsidR="00DB7A45" w:rsidRPr="004D44C1" w:rsidRDefault="00DB7A45" w:rsidP="00DB7A45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</w:t>
      </w:r>
      <w:r w:rsidR="007C1298"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наказу від 26 травня 2020 року № 212 «Про внесення змін до інструкції Служби судової охорони»</w:t>
      </w:r>
      <w:r w:rsidR="007C1298"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та </w:t>
      </w:r>
      <w:r w:rsidR="007C1298" w:rsidRPr="004D44C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наказу від 09 вересня 2020 року № 484 «Про організацію роботи територіальних управлінь Служби судової охорони на період дії карантину», </w:t>
      </w:r>
      <w:r w:rsidRPr="004D44C1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0D7D2098" w14:textId="77777777" w:rsidR="00BC5D2E" w:rsidRPr="004D44C1" w:rsidRDefault="00BC5D2E" w:rsidP="00BC5D2E">
      <w:pPr>
        <w:widowControl w:val="0"/>
        <w:autoSpaceDE w:val="0"/>
        <w:autoSpaceDN w:val="0"/>
        <w:spacing w:before="5" w:after="1"/>
        <w:ind w:right="0" w:firstLine="0"/>
        <w:jc w:val="left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145826D6" w14:textId="62ECFE4C" w:rsidR="00BC5D2E" w:rsidRPr="004D44C1" w:rsidRDefault="00BC5D2E" w:rsidP="00BC5D2E">
      <w:pPr>
        <w:widowControl w:val="0"/>
        <w:autoSpaceDE w:val="0"/>
        <w:autoSpaceDN w:val="0"/>
        <w:ind w:right="0" w:firstLine="708"/>
        <w:rPr>
          <w:rFonts w:ascii="Times New Roman" w:eastAsia="Times New Roman" w:hAnsi="Times New Roman"/>
          <w:sz w:val="28"/>
          <w:lang w:eastAsia="uk-UA"/>
        </w:rPr>
      </w:pP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</w:t>
      </w:r>
      <w:r w:rsidR="007C129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.00 </w:t>
      </w:r>
      <w:r w:rsidR="00A0489D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F772E3">
        <w:rPr>
          <w:rFonts w:ascii="Times New Roman" w:eastAsia="Times New Roman" w:hAnsi="Times New Roman"/>
          <w:b/>
          <w:bCs/>
          <w:sz w:val="28"/>
          <w:lang w:eastAsia="uk-UA" w:bidi="uk-UA"/>
        </w:rPr>
        <w:t>9</w:t>
      </w:r>
      <w:r w:rsidR="007C129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040D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7F123D"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F772E3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1040D8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7F123D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14D69B63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0813EEE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FC191E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400801CC" w14:textId="77777777" w:rsidR="00BC5D2E" w:rsidRPr="004D44C1" w:rsidRDefault="00BC5D2E" w:rsidP="00BC5D2E">
      <w:pPr>
        <w:widowControl w:val="0"/>
        <w:autoSpaceDE w:val="0"/>
        <w:autoSpaceDN w:val="0"/>
        <w:ind w:right="0" w:firstLine="0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4D44C1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0E39BAB7" w14:textId="77777777" w:rsidR="00BC5D2E" w:rsidRPr="004D44C1" w:rsidRDefault="00BC5D2E" w:rsidP="00BC5D2E">
      <w:pPr>
        <w:widowControl w:val="0"/>
        <w:autoSpaceDE w:val="0"/>
        <w:autoSpaceDN w:val="0"/>
        <w:ind w:right="0" w:firstLine="773"/>
        <w:rPr>
          <w:rFonts w:ascii="Times New Roman" w:eastAsia="Times New Roman" w:hAnsi="Times New Roman"/>
          <w:sz w:val="28"/>
          <w:lang w:eastAsia="uk-UA" w:bidi="uk-UA"/>
        </w:rPr>
      </w:pPr>
    </w:p>
    <w:p w14:paraId="57BCBC85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7E992370" w14:textId="77777777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sz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3F179D2" w14:textId="3667118C" w:rsidR="00BC5D2E" w:rsidRPr="004D44C1" w:rsidRDefault="00055073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30</w:t>
      </w:r>
      <w:r w:rsidR="007F123D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BC5D2E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- 09.</w:t>
      </w:r>
      <w:r w:rsidR="001233FB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4D44C1">
        <w:rPr>
          <w:rFonts w:ascii="Times New Roman" w:eastAsia="Times New Roman" w:hAnsi="Times New Roman"/>
          <w:b/>
          <w:bCs/>
          <w:sz w:val="28"/>
          <w:lang w:eastAsia="uk-UA" w:bidi="uk-UA"/>
        </w:rPr>
        <w:t>0</w:t>
      </w:r>
      <w:r w:rsidR="00BC5D2E" w:rsidRPr="004D44C1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404361" w:rsidRPr="004D44C1">
        <w:rPr>
          <w:rFonts w:ascii="Times New Roman" w:eastAsia="Times New Roman" w:hAnsi="Times New Roman"/>
          <w:sz w:val="28"/>
          <w:lang w:eastAsia="uk-UA" w:bidi="uk-UA"/>
        </w:rPr>
        <w:t xml:space="preserve">   </w:t>
      </w:r>
      <w:r w:rsidR="00BC5D2E" w:rsidRPr="004D44C1">
        <w:rPr>
          <w:rFonts w:ascii="Times New Roman" w:eastAsia="Times New Roman" w:hAnsi="Times New Roman"/>
          <w:sz w:val="28"/>
          <w:lang w:eastAsia="uk-UA" w:bidi="uk-UA"/>
        </w:rPr>
        <w:t xml:space="preserve">вул. Кирпоноса, 16, територіальне управління Служби судової охорони у Чернігівській області). </w:t>
      </w:r>
    </w:p>
    <w:p w14:paraId="3FE25278" w14:textId="77777777" w:rsidR="001040D8" w:rsidRPr="004D44C1" w:rsidRDefault="001040D8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71DB4A1F" w14:textId="55768BE9" w:rsidR="00BC5D2E" w:rsidRPr="004D44C1" w:rsidRDefault="00BC5D2E" w:rsidP="00BC5D2E">
      <w:pPr>
        <w:widowControl w:val="0"/>
        <w:autoSpaceDE w:val="0"/>
        <w:autoSpaceDN w:val="0"/>
        <w:ind w:right="0" w:firstLine="851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4D44C1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4D44C1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тел. (0462) 66-52-86,  </w:t>
      </w:r>
      <w:r w:rsidRPr="004D44C1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9768"/>
      </w:tblGrid>
      <w:tr w:rsidR="00910C3D" w:rsidRPr="004D44C1" w14:paraId="57AF447C" w14:textId="77777777" w:rsidTr="00F33377">
        <w:trPr>
          <w:trHeight w:val="408"/>
        </w:trPr>
        <w:tc>
          <w:tcPr>
            <w:tcW w:w="9768" w:type="dxa"/>
          </w:tcPr>
          <w:p w14:paraId="6E357071" w14:textId="77777777" w:rsidR="00975E92" w:rsidRPr="004D44C1" w:rsidRDefault="00975E92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30"/>
              <w:gridCol w:w="222"/>
            </w:tblGrid>
            <w:tr w:rsidR="00910C3D" w:rsidRPr="004D44C1" w14:paraId="6919A15D" w14:textId="77777777" w:rsidTr="00975E92">
              <w:tc>
                <w:tcPr>
                  <w:tcW w:w="9552" w:type="dxa"/>
                  <w:gridSpan w:val="2"/>
                </w:tcPr>
                <w:p w14:paraId="08C57918" w14:textId="77777777" w:rsidR="00975E92" w:rsidRPr="004D44C1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4D44C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Кваліфікаційні вимоги</w:t>
                  </w:r>
                </w:p>
                <w:p w14:paraId="1AC34684" w14:textId="77777777" w:rsidR="00975E92" w:rsidRPr="004D44C1" w:rsidRDefault="00975E92" w:rsidP="00975E92">
                  <w:pPr>
                    <w:widowControl w:val="0"/>
                    <w:autoSpaceDE w:val="0"/>
                    <w:autoSpaceDN w:val="0"/>
                    <w:ind w:right="0" w:firstLine="851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32" w:type="dxa"/>
                    <w:tblLook w:val="04A0" w:firstRow="1" w:lastRow="0" w:firstColumn="1" w:lastColumn="0" w:noHBand="0" w:noVBand="1"/>
                  </w:tblPr>
                  <w:tblGrid>
                    <w:gridCol w:w="4354"/>
                    <w:gridCol w:w="4678"/>
                  </w:tblGrid>
                  <w:tr w:rsidR="00975E92" w:rsidRPr="004D44C1" w14:paraId="654CCFF9" w14:textId="77777777" w:rsidTr="00975E92">
                    <w:tc>
                      <w:tcPr>
                        <w:tcW w:w="4354" w:type="dxa"/>
                        <w:hideMark/>
                      </w:tcPr>
                      <w:p w14:paraId="507503A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1. Освіта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3D2ECB9D" w14:textId="77777777" w:rsidR="007F123D" w:rsidRPr="007F123D" w:rsidRDefault="007F123D" w:rsidP="007F123D">
                        <w:pPr>
                          <w:widowControl w:val="0"/>
                          <w:tabs>
                            <w:tab w:val="left" w:pos="4071"/>
                          </w:tabs>
                          <w:autoSpaceDE w:val="0"/>
                          <w:autoSpaceDN w:val="0"/>
                          <w:adjustRightInd w:val="0"/>
                          <w:ind w:right="-3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7F123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вища освіта за однією з галузей знань: «Право», «Воєнні науки, національна безпека, безпека державного кордону», «Управління та адміністрування», «Цивільна </w:t>
                        </w:r>
                        <w:r w:rsidRPr="007F123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>безпека» (за спеціальністю «Правоохоронна діяльність»), «Соціальні та поведінкові науки», «Інформаційні технології», «Математика та статистика», ступінь вищої освіти – не нижче бакалавра;</w:t>
                        </w:r>
                      </w:p>
                      <w:p w14:paraId="341A055F" w14:textId="35631091" w:rsidR="00975E92" w:rsidRPr="004D44C1" w:rsidRDefault="00975E92" w:rsidP="008B4D24">
                        <w:pPr>
                          <w:widowControl w:val="0"/>
                          <w:tabs>
                            <w:tab w:val="left" w:pos="4071"/>
                          </w:tabs>
                          <w:autoSpaceDE w:val="0"/>
                          <w:autoSpaceDN w:val="0"/>
                          <w:adjustRightInd w:val="0"/>
                          <w:ind w:right="-3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</w:p>
                    </w:tc>
                  </w:tr>
                  <w:tr w:rsidR="00975E92" w:rsidRPr="004D44C1" w14:paraId="47985118" w14:textId="77777777" w:rsidTr="00975E92">
                    <w:tc>
                      <w:tcPr>
                        <w:tcW w:w="4354" w:type="dxa"/>
                        <w:hideMark/>
                      </w:tcPr>
                      <w:p w14:paraId="62E304CC" w14:textId="77777777" w:rsidR="00975E92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lastRenderedPageBreak/>
                          <w:t>2. Досвід роботи</w:t>
                        </w:r>
                        <w:r w:rsid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/проходження </w:t>
                        </w:r>
                      </w:p>
                      <w:p w14:paraId="4ED361B7" w14:textId="653B8D69" w:rsidR="004D44C1" w:rsidRPr="004D44C1" w:rsidRDefault="004D44C1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   служби</w:t>
                        </w:r>
                      </w:p>
                    </w:tc>
                    <w:tc>
                      <w:tcPr>
                        <w:tcW w:w="4678" w:type="dxa"/>
                      </w:tcPr>
                      <w:p w14:paraId="3E8DB276" w14:textId="77777777" w:rsidR="007F123D" w:rsidRPr="007F123D" w:rsidRDefault="007F123D" w:rsidP="007F123D">
                        <w:pPr>
                          <w:widowControl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7F123D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у державних органах влади, органах системи правосуддя, досвід проходження служби у правоохоронних органах чи військових формуваннях – не менше ніж 3 роки.</w:t>
                        </w:r>
                      </w:p>
                      <w:p w14:paraId="5D041F13" w14:textId="77777777" w:rsidR="007F123D" w:rsidRPr="007F123D" w:rsidRDefault="007F123D" w:rsidP="007F123D">
                        <w:pPr>
                          <w:widowControl w:val="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7F123D">
                          <w:rPr>
                            <w:rFonts w:ascii="Times New Roman" w:eastAsia="Times New Roman" w:hAnsi="Times New Roman"/>
                            <w:b/>
                            <w:i/>
                            <w:color w:val="000000"/>
                            <w:sz w:val="28"/>
                            <w:szCs w:val="28"/>
                            <w:lang w:eastAsia="uk-UA" w:bidi="uk-UA"/>
                          </w:rPr>
                          <w:t>(надати підтверджуючі документи);</w:t>
                        </w:r>
                      </w:p>
                      <w:p w14:paraId="1E5896A7" w14:textId="23587050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</w:p>
                    </w:tc>
                  </w:tr>
                  <w:tr w:rsidR="00975E92" w:rsidRPr="004D44C1" w14:paraId="00892DDC" w14:textId="77777777" w:rsidTr="00975E92">
                    <w:tc>
                      <w:tcPr>
                        <w:tcW w:w="4354" w:type="dxa"/>
                        <w:hideMark/>
                      </w:tcPr>
                      <w:p w14:paraId="396BEA0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3. Володіння державною</w:t>
                        </w:r>
                      </w:p>
                      <w:p w14:paraId="7BFEB083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 xml:space="preserve"> мовою</w:t>
                        </w:r>
                      </w:p>
                    </w:tc>
                    <w:tc>
                      <w:tcPr>
                        <w:tcW w:w="4678" w:type="dxa"/>
                        <w:hideMark/>
                      </w:tcPr>
                      <w:p w14:paraId="74C68FD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uk-UA" w:bidi="uk-UA"/>
                          </w:rPr>
                          <w:t>Вільне володіння державною мовою.</w:t>
                        </w:r>
                      </w:p>
                    </w:tc>
                  </w:tr>
                </w:tbl>
                <w:p w14:paraId="29B1030D" w14:textId="2D995CDD" w:rsidR="00975E92" w:rsidRPr="004D44C1" w:rsidRDefault="00975E92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  <w:r w:rsidRPr="004D44C1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  <w:t>Вимоги до компетентності</w:t>
                  </w:r>
                </w:p>
                <w:p w14:paraId="6F8C4D32" w14:textId="77777777" w:rsidR="00700768" w:rsidRPr="004D44C1" w:rsidRDefault="00700768" w:rsidP="00700768">
                  <w:pPr>
                    <w:widowControl w:val="0"/>
                    <w:autoSpaceDE w:val="0"/>
                    <w:autoSpaceDN w:val="0"/>
                    <w:ind w:right="0" w:firstLine="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 w:bidi="uk-UA"/>
                    </w:rPr>
                  </w:pPr>
                </w:p>
                <w:tbl>
                  <w:tblPr>
                    <w:tblW w:w="9015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4246"/>
                    <w:gridCol w:w="4769"/>
                  </w:tblGrid>
                  <w:tr w:rsidR="00975E92" w:rsidRPr="004D44C1" w14:paraId="3D85C19F" w14:textId="77777777" w:rsidTr="00975E92">
                    <w:tc>
                      <w:tcPr>
                        <w:tcW w:w="4246" w:type="dxa"/>
                      </w:tcPr>
                      <w:p w14:paraId="06CED10F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1. Наявність лідерських якостей</w:t>
                        </w:r>
                      </w:p>
                      <w:p w14:paraId="4736E86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07F9A18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Встановлення  цілей,  пріоритетів  та орієнтирів; </w:t>
                        </w:r>
                      </w:p>
                      <w:p w14:paraId="5A47498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Стратегічне планування; Багатофункціональність; </w:t>
                        </w:r>
                      </w:p>
                      <w:p w14:paraId="7BDBE24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Ведення ділових переговорів; Досягнення кінцевих результатів.</w:t>
                        </w:r>
                      </w:p>
                    </w:tc>
                  </w:tr>
                  <w:tr w:rsidR="00975E92" w:rsidRPr="004D44C1" w14:paraId="6F4AB82A" w14:textId="77777777" w:rsidTr="00975E92">
                    <w:tc>
                      <w:tcPr>
                        <w:tcW w:w="4246" w:type="dxa"/>
                        <w:hideMark/>
                      </w:tcPr>
                      <w:p w14:paraId="4F61D13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2.Вміння приймати ефективні рішення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76A33C3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Здатність швидко приймати рішення та діяти в екстремальних ситуаціях.</w:t>
                        </w:r>
                      </w:p>
                    </w:tc>
                  </w:tr>
                  <w:tr w:rsidR="00975E92" w:rsidRPr="004D44C1" w14:paraId="1BB3B8F9" w14:textId="77777777" w:rsidTr="00975E92">
                    <w:tc>
                      <w:tcPr>
                        <w:tcW w:w="4246" w:type="dxa"/>
                        <w:hideMark/>
                      </w:tcPr>
                      <w:p w14:paraId="20881287" w14:textId="72CE23E0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3. Комунікація та взаємодія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1F3B94D8" w14:textId="56079EB8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7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Вміння  здійснювати  ефективну  комунікацію та проводити публічні виступи; </w:t>
                        </w:r>
                      </w:p>
                      <w:p w14:paraId="4BC9E71A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Відкритість.</w:t>
                        </w:r>
                      </w:p>
                    </w:tc>
                  </w:tr>
                  <w:tr w:rsidR="00975E92" w:rsidRPr="004D44C1" w14:paraId="28A77040" w14:textId="77777777" w:rsidTr="00975E92">
                    <w:tc>
                      <w:tcPr>
                        <w:tcW w:w="4246" w:type="dxa"/>
                        <w:hideMark/>
                      </w:tcPr>
                      <w:p w14:paraId="58CBEAD8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4.Управління організацією та персоналом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1FD37C3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Організація роботи та контроль; </w:t>
                        </w:r>
                      </w:p>
                      <w:p w14:paraId="0A50FEC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Управління людськими ресурсами; </w:t>
                        </w:r>
                      </w:p>
                      <w:p w14:paraId="604A979E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Вміння мотивувати підлеглих працівників.</w:t>
                        </w:r>
                      </w:p>
                    </w:tc>
                  </w:tr>
                  <w:tr w:rsidR="00975E92" w:rsidRPr="004D44C1" w14:paraId="119F92FC" w14:textId="77777777" w:rsidTr="00975E92">
                    <w:tc>
                      <w:tcPr>
                        <w:tcW w:w="4246" w:type="dxa"/>
                      </w:tcPr>
                      <w:p w14:paraId="3A8A17A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spacing w:before="120"/>
                          <w:ind w:right="0" w:firstLine="0"/>
                          <w:contextualSpacing/>
                          <w:jc w:val="left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5. Особистісні компетенції</w:t>
                        </w:r>
                      </w:p>
                      <w:p w14:paraId="5EBA1152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233764B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6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Принциповість, рішучість і вимогливість під час прийняття рішень; </w:t>
                        </w:r>
                      </w:p>
                      <w:p w14:paraId="1F1F5F81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15" w:lineRule="exact"/>
                          <w:ind w:right="-38" w:firstLine="0"/>
                          <w:jc w:val="left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Системність; Самоорганізація та саморозвиток; Політична нейтральність.</w:t>
                        </w:r>
                      </w:p>
                    </w:tc>
                  </w:tr>
                  <w:tr w:rsidR="00975E92" w:rsidRPr="004D44C1" w14:paraId="171AE15E" w14:textId="77777777" w:rsidTr="00975E92">
                    <w:tc>
                      <w:tcPr>
                        <w:tcW w:w="4246" w:type="dxa"/>
                        <w:hideMark/>
                      </w:tcPr>
                      <w:p w14:paraId="31D68D16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uk-UA" w:bidi="uk-UA"/>
                          </w:rPr>
                          <w:t>6.Забезпечення громадського порядку</w:t>
                        </w:r>
                      </w:p>
                    </w:tc>
                    <w:tc>
                      <w:tcPr>
                        <w:tcW w:w="4769" w:type="dxa"/>
                        <w:hideMark/>
                      </w:tcPr>
                      <w:p w14:paraId="0EEF6009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 w:bidi="uk-UA"/>
                          </w:rPr>
                          <w:t>З</w:t>
                        </w: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 xml:space="preserve">нання законодавства, яке регулює діяльність судових та правоохоронних органів; </w:t>
                        </w:r>
                      </w:p>
                      <w:p w14:paraId="1043E0FC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0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lastRenderedPageBreak/>
                          <w:t>Знання  системи  правоохоронних  органів, розмежування  їх  компетенції,  порядок забезпечення їх співпраці.</w:t>
                        </w:r>
                      </w:p>
                    </w:tc>
                  </w:tr>
                  <w:tr w:rsidR="00975E92" w:rsidRPr="004D44C1" w14:paraId="50383D63" w14:textId="77777777" w:rsidTr="00975E92">
                    <w:tc>
                      <w:tcPr>
                        <w:tcW w:w="4246" w:type="dxa"/>
                        <w:hideMark/>
                      </w:tcPr>
                      <w:p w14:paraId="7D448100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lastRenderedPageBreak/>
                          <w:t>7. Робота з інформацією</w:t>
                        </w:r>
                      </w:p>
                    </w:tc>
                    <w:tc>
                      <w:tcPr>
                        <w:tcW w:w="4769" w:type="dxa"/>
                      </w:tcPr>
                      <w:p w14:paraId="4815E37F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</w:pPr>
                        <w:r w:rsidRPr="004D44C1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4"/>
                            <w:lang w:eastAsia="ru-RU" w:bidi="uk-UA"/>
                          </w:rPr>
                          <w:t>Знання основ законодавства про інформацію</w:t>
                        </w:r>
                      </w:p>
                      <w:p w14:paraId="0AC55AC7" w14:textId="77777777" w:rsidR="00975E92" w:rsidRPr="004D44C1" w:rsidRDefault="00975E92" w:rsidP="00975E9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320" w:lineRule="exact"/>
                          <w:ind w:right="-38" w:firstLine="0"/>
                          <w:rPr>
                            <w:rFonts w:ascii="Times New Roman" w:eastAsia="Times New Roman" w:hAnsi="Times New Roman"/>
                            <w:sz w:val="28"/>
                            <w:lang w:eastAsia="uk-UA" w:bidi="uk-UA"/>
                          </w:rPr>
                        </w:pPr>
                      </w:p>
                    </w:tc>
                  </w:tr>
                </w:tbl>
                <w:p w14:paraId="12A54375" w14:textId="77777777" w:rsidR="00910C3D" w:rsidRPr="004D44C1" w:rsidRDefault="00910C3D" w:rsidP="007742AF">
                  <w:pPr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4D44C1" w14:paraId="409E596F" w14:textId="77777777" w:rsidTr="00975E92">
              <w:tc>
                <w:tcPr>
                  <w:tcW w:w="9330" w:type="dxa"/>
                </w:tcPr>
                <w:p w14:paraId="76EF5303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6E27B663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2AD3F196" w14:textId="77777777" w:rsidR="004D44C1" w:rsidRDefault="004D44C1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14:paraId="40957ABB" w14:textId="048CDBAB" w:rsidR="003A55A8" w:rsidRPr="004D44C1" w:rsidRDefault="003A55A8" w:rsidP="00700768">
                  <w:pPr>
                    <w:ind w:right="0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D44C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Професійні знання.</w:t>
                  </w:r>
                </w:p>
                <w:p w14:paraId="41923B4A" w14:textId="77777777" w:rsidR="003A55A8" w:rsidRPr="004D44C1" w:rsidRDefault="003A55A8" w:rsidP="003A55A8">
                  <w:pPr>
                    <w:ind w:right="0" w:firstLine="851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72"/>
                    <w:gridCol w:w="5442"/>
                  </w:tblGrid>
                  <w:tr w:rsidR="003A55A8" w:rsidRPr="004D44C1" w14:paraId="45F8AE38" w14:textId="77777777" w:rsidTr="004726BF">
                    <w:tc>
                      <w:tcPr>
                        <w:tcW w:w="3836" w:type="dxa"/>
                        <w:hideMark/>
                      </w:tcPr>
                      <w:p w14:paraId="21F95A2E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1. Знання 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6055772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Конституції України, Законів України, указів Президента України,  нормативно-правових  актів  Верховної  Ради  України,  Кабінету  Міністрів  України, Міністерства фінансів України, Державного казначейства України, Національного банку України, Державної податкової адміністрації України, Служби судової адміністрації, що стосуються фінансово-господарської  діяльності, Дисциплінарного  статуту Національної поліції України;  основ  бюджетного  законодавства,  бухгалтерського  обліку  та звітності.</w:t>
                        </w:r>
                      </w:p>
                    </w:tc>
                  </w:tr>
                  <w:tr w:rsidR="003A55A8" w:rsidRPr="004D44C1" w14:paraId="1562CFCF" w14:textId="77777777" w:rsidTr="004726BF">
                    <w:tc>
                      <w:tcPr>
                        <w:tcW w:w="3836" w:type="dxa"/>
                        <w:hideMark/>
                      </w:tcPr>
                      <w:p w14:paraId="70407348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2. Знання спеціального</w:t>
                        </w:r>
                      </w:p>
                      <w:p w14:paraId="7393824C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законодавства</w:t>
                        </w:r>
                      </w:p>
                    </w:tc>
                    <w:tc>
                      <w:tcPr>
                        <w:tcW w:w="5735" w:type="dxa"/>
                        <w:hideMark/>
                      </w:tcPr>
                      <w:p w14:paraId="7CFA823C" w14:textId="77777777" w:rsidR="003A55A8" w:rsidRPr="004D44C1" w:rsidRDefault="003A55A8" w:rsidP="003A55A8">
                        <w:pPr>
                          <w:ind w:right="0" w:firstLine="0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D44C1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Знання: Законів України «Про судоустрій і статус суддів», «Про Національну поліцію», «Про запобігання корупції», «Про очищення влади»,  «Про звернення громадян», «Про доступ до публічної інформації», «Про інформацію», «Про захист персональних даних», «Про оплату праці»; актів Кабінету Міністрів України, рішень Ради суддів України, наказів Державної судової адміністрації України з питань організаційного забезпечення діяльності органів системи правосуддя.</w:t>
                        </w:r>
                      </w:p>
                      <w:p w14:paraId="4617AD5E" w14:textId="77777777" w:rsidR="003A55A8" w:rsidRPr="004D44C1" w:rsidRDefault="003A55A8" w:rsidP="003A55A8">
                        <w:pPr>
                          <w:ind w:right="0" w:firstLine="33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7506007" w14:textId="4F0C19BD" w:rsidR="00910C3D" w:rsidRPr="004D44C1" w:rsidRDefault="00910C3D" w:rsidP="00975E92">
                  <w:pPr>
                    <w:widowControl w:val="0"/>
                    <w:autoSpaceDE w:val="0"/>
                    <w:autoSpaceDN w:val="0"/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0180ADF6" w14:textId="59B77F73" w:rsidR="00910C3D" w:rsidRPr="004D44C1" w:rsidRDefault="00910C3D" w:rsidP="00E0267A">
                  <w:pPr>
                    <w:ind w:right="0" w:hanging="615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  <w:tr w:rsidR="00910C3D" w:rsidRPr="004D44C1" w14:paraId="686D3CA0" w14:textId="77777777" w:rsidTr="003A55A8">
              <w:trPr>
                <w:trHeight w:val="70"/>
              </w:trPr>
              <w:tc>
                <w:tcPr>
                  <w:tcW w:w="9330" w:type="dxa"/>
                </w:tcPr>
                <w:p w14:paraId="15D9D178" w14:textId="02D00D68" w:rsidR="00910C3D" w:rsidRPr="004D44C1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222" w:type="dxa"/>
                </w:tcPr>
                <w:p w14:paraId="604594E0" w14:textId="1A7B2F3E" w:rsidR="00910C3D" w:rsidRPr="004D44C1" w:rsidRDefault="00910C3D" w:rsidP="00910C3D">
                  <w:pPr>
                    <w:ind w:right="0" w:firstLine="0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14:paraId="41BBAB81" w14:textId="77777777" w:rsidR="00910C3D" w:rsidRPr="004D44C1" w:rsidRDefault="00910C3D" w:rsidP="00910C3D">
            <w:pPr>
              <w:ind w:right="0" w:firstLine="0"/>
              <w:rPr>
                <w:rFonts w:ascii="Times New Roman" w:hAnsi="Times New Roman"/>
                <w:sz w:val="28"/>
              </w:rPr>
            </w:pPr>
          </w:p>
        </w:tc>
      </w:tr>
    </w:tbl>
    <w:p w14:paraId="17113431" w14:textId="031A0049" w:rsidR="009062A7" w:rsidRPr="004D44C1" w:rsidRDefault="009062A7" w:rsidP="00623C2B">
      <w:pPr>
        <w:widowControl w:val="0"/>
        <w:autoSpaceDE w:val="0"/>
        <w:autoSpaceDN w:val="0"/>
        <w:spacing w:line="216" w:lineRule="auto"/>
        <w:ind w:right="0" w:firstLine="851"/>
        <w:rPr>
          <w:rFonts w:ascii="Times New Roman" w:hAnsi="Times New Roman"/>
          <w:sz w:val="28"/>
          <w:szCs w:val="28"/>
        </w:rPr>
      </w:pPr>
      <w:r w:rsidRPr="004D44C1">
        <w:rPr>
          <w:rFonts w:ascii="Times New Roman" w:eastAsia="Times New Roman" w:hAnsi="Times New Roman"/>
          <w:sz w:val="24"/>
          <w:szCs w:val="24"/>
          <w:lang w:eastAsia="uk-UA" w:bidi="uk-UA"/>
        </w:rPr>
        <w:lastRenderedPageBreak/>
        <w:t>*У разі коли особа,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 (далі – Закону), така освіта прирівнюється до вищої освіти ступеня магістра, та відповідно до підпункту 4 пункту 2 розділу XV Закону диплом про вищу освіту за освітньо-кваліфікаційним рівнем молодшого спеціаліста (початкова вища освіта) прирівнюється до диплома про вищу освіту за освітньо-професійним ступенем молодшого бакалавра.</w:t>
      </w:r>
    </w:p>
    <w:sectPr w:rsidR="009062A7" w:rsidRPr="004D44C1" w:rsidSect="00BD16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2E91"/>
    <w:multiLevelType w:val="multilevel"/>
    <w:tmpl w:val="7EF60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91EEF"/>
    <w:multiLevelType w:val="multilevel"/>
    <w:tmpl w:val="004244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17481"/>
    <w:multiLevelType w:val="multilevel"/>
    <w:tmpl w:val="99085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CC5"/>
    <w:rsid w:val="00021523"/>
    <w:rsid w:val="0002284B"/>
    <w:rsid w:val="0003169F"/>
    <w:rsid w:val="00044031"/>
    <w:rsid w:val="00044316"/>
    <w:rsid w:val="00044892"/>
    <w:rsid w:val="00045719"/>
    <w:rsid w:val="00050D0D"/>
    <w:rsid w:val="00055073"/>
    <w:rsid w:val="00056519"/>
    <w:rsid w:val="00074444"/>
    <w:rsid w:val="00080DDA"/>
    <w:rsid w:val="00080F08"/>
    <w:rsid w:val="00087346"/>
    <w:rsid w:val="000908D3"/>
    <w:rsid w:val="00090F13"/>
    <w:rsid w:val="00096812"/>
    <w:rsid w:val="000B3A9C"/>
    <w:rsid w:val="000B53D3"/>
    <w:rsid w:val="000C3214"/>
    <w:rsid w:val="000C5086"/>
    <w:rsid w:val="000D6D15"/>
    <w:rsid w:val="001040D8"/>
    <w:rsid w:val="00105CDD"/>
    <w:rsid w:val="00120D06"/>
    <w:rsid w:val="0012188E"/>
    <w:rsid w:val="001233FB"/>
    <w:rsid w:val="00127980"/>
    <w:rsid w:val="00167426"/>
    <w:rsid w:val="00167752"/>
    <w:rsid w:val="00175A24"/>
    <w:rsid w:val="00175C1A"/>
    <w:rsid w:val="001778D8"/>
    <w:rsid w:val="00183EC8"/>
    <w:rsid w:val="00192C77"/>
    <w:rsid w:val="001A22E4"/>
    <w:rsid w:val="001B324A"/>
    <w:rsid w:val="001B6880"/>
    <w:rsid w:val="001C489F"/>
    <w:rsid w:val="001D0AD1"/>
    <w:rsid w:val="001D7CE6"/>
    <w:rsid w:val="001F3B8A"/>
    <w:rsid w:val="001F6C20"/>
    <w:rsid w:val="002002C2"/>
    <w:rsid w:val="002006B9"/>
    <w:rsid w:val="00201F77"/>
    <w:rsid w:val="00213C5E"/>
    <w:rsid w:val="00223478"/>
    <w:rsid w:val="00224225"/>
    <w:rsid w:val="00226318"/>
    <w:rsid w:val="00233DBF"/>
    <w:rsid w:val="00234C5B"/>
    <w:rsid w:val="00236CE5"/>
    <w:rsid w:val="00245C97"/>
    <w:rsid w:val="00252D6A"/>
    <w:rsid w:val="00252E79"/>
    <w:rsid w:val="00256BA9"/>
    <w:rsid w:val="00262F75"/>
    <w:rsid w:val="00265C17"/>
    <w:rsid w:val="00266CF5"/>
    <w:rsid w:val="00274EF3"/>
    <w:rsid w:val="00277E12"/>
    <w:rsid w:val="00282BBE"/>
    <w:rsid w:val="00293AF1"/>
    <w:rsid w:val="00297B11"/>
    <w:rsid w:val="002B05D2"/>
    <w:rsid w:val="002B7743"/>
    <w:rsid w:val="002C1EF8"/>
    <w:rsid w:val="002D136A"/>
    <w:rsid w:val="002D263F"/>
    <w:rsid w:val="002E1D2C"/>
    <w:rsid w:val="002F4C05"/>
    <w:rsid w:val="00305C00"/>
    <w:rsid w:val="00316796"/>
    <w:rsid w:val="0031759D"/>
    <w:rsid w:val="003207C3"/>
    <w:rsid w:val="003230B0"/>
    <w:rsid w:val="0032356F"/>
    <w:rsid w:val="00323F13"/>
    <w:rsid w:val="00326865"/>
    <w:rsid w:val="00344425"/>
    <w:rsid w:val="00354DE0"/>
    <w:rsid w:val="00370CF7"/>
    <w:rsid w:val="003A55A8"/>
    <w:rsid w:val="003A6E6C"/>
    <w:rsid w:val="003B183B"/>
    <w:rsid w:val="003C237D"/>
    <w:rsid w:val="003C67D1"/>
    <w:rsid w:val="003D73E7"/>
    <w:rsid w:val="003E07D0"/>
    <w:rsid w:val="003E31DF"/>
    <w:rsid w:val="003F37A2"/>
    <w:rsid w:val="0040420B"/>
    <w:rsid w:val="00404361"/>
    <w:rsid w:val="0040501D"/>
    <w:rsid w:val="004278AC"/>
    <w:rsid w:val="004505D9"/>
    <w:rsid w:val="00457F4E"/>
    <w:rsid w:val="00483524"/>
    <w:rsid w:val="004871C6"/>
    <w:rsid w:val="00490630"/>
    <w:rsid w:val="0049291E"/>
    <w:rsid w:val="00494D98"/>
    <w:rsid w:val="004A3A3A"/>
    <w:rsid w:val="004A3D1E"/>
    <w:rsid w:val="004A609A"/>
    <w:rsid w:val="004A6F41"/>
    <w:rsid w:val="004D44C1"/>
    <w:rsid w:val="004D535A"/>
    <w:rsid w:val="004D6AF7"/>
    <w:rsid w:val="004F3711"/>
    <w:rsid w:val="004F4305"/>
    <w:rsid w:val="00501092"/>
    <w:rsid w:val="00501DDB"/>
    <w:rsid w:val="005050F4"/>
    <w:rsid w:val="00505F37"/>
    <w:rsid w:val="005142CC"/>
    <w:rsid w:val="00522E3C"/>
    <w:rsid w:val="0052474F"/>
    <w:rsid w:val="005305C3"/>
    <w:rsid w:val="005419C9"/>
    <w:rsid w:val="00543062"/>
    <w:rsid w:val="00546763"/>
    <w:rsid w:val="00560F78"/>
    <w:rsid w:val="00567625"/>
    <w:rsid w:val="00581DCF"/>
    <w:rsid w:val="00583F0D"/>
    <w:rsid w:val="005A0493"/>
    <w:rsid w:val="005A1E93"/>
    <w:rsid w:val="005B5389"/>
    <w:rsid w:val="005C51B2"/>
    <w:rsid w:val="005E14EB"/>
    <w:rsid w:val="005E1905"/>
    <w:rsid w:val="005E4AB4"/>
    <w:rsid w:val="005E5BB6"/>
    <w:rsid w:val="00611F15"/>
    <w:rsid w:val="0061603C"/>
    <w:rsid w:val="006231BD"/>
    <w:rsid w:val="00623C2B"/>
    <w:rsid w:val="00631CD3"/>
    <w:rsid w:val="00631E8D"/>
    <w:rsid w:val="00634F35"/>
    <w:rsid w:val="00640035"/>
    <w:rsid w:val="0066566A"/>
    <w:rsid w:val="0067213B"/>
    <w:rsid w:val="006741AE"/>
    <w:rsid w:val="006821D8"/>
    <w:rsid w:val="006979E5"/>
    <w:rsid w:val="006B0890"/>
    <w:rsid w:val="006B2905"/>
    <w:rsid w:val="006B7F06"/>
    <w:rsid w:val="006C1135"/>
    <w:rsid w:val="006C6697"/>
    <w:rsid w:val="006C7F0A"/>
    <w:rsid w:val="006D6775"/>
    <w:rsid w:val="006F54D8"/>
    <w:rsid w:val="006F5794"/>
    <w:rsid w:val="00700768"/>
    <w:rsid w:val="00702466"/>
    <w:rsid w:val="007159C4"/>
    <w:rsid w:val="00723CB7"/>
    <w:rsid w:val="00737638"/>
    <w:rsid w:val="007413AE"/>
    <w:rsid w:val="00752DDC"/>
    <w:rsid w:val="007652C8"/>
    <w:rsid w:val="007742AF"/>
    <w:rsid w:val="00777D8A"/>
    <w:rsid w:val="0078435B"/>
    <w:rsid w:val="007A4880"/>
    <w:rsid w:val="007B57A5"/>
    <w:rsid w:val="007C1074"/>
    <w:rsid w:val="007C1298"/>
    <w:rsid w:val="007E57DA"/>
    <w:rsid w:val="007E6627"/>
    <w:rsid w:val="007E72EE"/>
    <w:rsid w:val="007F123D"/>
    <w:rsid w:val="007F4726"/>
    <w:rsid w:val="007F5FBB"/>
    <w:rsid w:val="007F7B1A"/>
    <w:rsid w:val="008063F6"/>
    <w:rsid w:val="00810A45"/>
    <w:rsid w:val="00811130"/>
    <w:rsid w:val="008348E9"/>
    <w:rsid w:val="008558D5"/>
    <w:rsid w:val="00857700"/>
    <w:rsid w:val="008717CE"/>
    <w:rsid w:val="00887A04"/>
    <w:rsid w:val="00892736"/>
    <w:rsid w:val="00894833"/>
    <w:rsid w:val="008967F9"/>
    <w:rsid w:val="008A7367"/>
    <w:rsid w:val="008A7A43"/>
    <w:rsid w:val="008B4D24"/>
    <w:rsid w:val="008C582F"/>
    <w:rsid w:val="008C6251"/>
    <w:rsid w:val="008C6C77"/>
    <w:rsid w:val="008E0D6E"/>
    <w:rsid w:val="008E1C33"/>
    <w:rsid w:val="008F42C5"/>
    <w:rsid w:val="0090215D"/>
    <w:rsid w:val="00902259"/>
    <w:rsid w:val="00903541"/>
    <w:rsid w:val="009062A7"/>
    <w:rsid w:val="009062AB"/>
    <w:rsid w:val="00910C3D"/>
    <w:rsid w:val="009122D7"/>
    <w:rsid w:val="00915089"/>
    <w:rsid w:val="00927593"/>
    <w:rsid w:val="00941BB5"/>
    <w:rsid w:val="00942639"/>
    <w:rsid w:val="0096122E"/>
    <w:rsid w:val="00975E92"/>
    <w:rsid w:val="0097641C"/>
    <w:rsid w:val="0098030F"/>
    <w:rsid w:val="00980497"/>
    <w:rsid w:val="0099411C"/>
    <w:rsid w:val="009A4572"/>
    <w:rsid w:val="009B0638"/>
    <w:rsid w:val="009D1F87"/>
    <w:rsid w:val="009E5877"/>
    <w:rsid w:val="009F09B6"/>
    <w:rsid w:val="00A0489D"/>
    <w:rsid w:val="00A34764"/>
    <w:rsid w:val="00A57D12"/>
    <w:rsid w:val="00A8685C"/>
    <w:rsid w:val="00A90133"/>
    <w:rsid w:val="00A96E51"/>
    <w:rsid w:val="00AA48FA"/>
    <w:rsid w:val="00AB78FD"/>
    <w:rsid w:val="00AC4620"/>
    <w:rsid w:val="00AC6D2C"/>
    <w:rsid w:val="00AD351D"/>
    <w:rsid w:val="00AD7249"/>
    <w:rsid w:val="00AE059B"/>
    <w:rsid w:val="00AE6923"/>
    <w:rsid w:val="00AF01E8"/>
    <w:rsid w:val="00B176C2"/>
    <w:rsid w:val="00B203FE"/>
    <w:rsid w:val="00B2144D"/>
    <w:rsid w:val="00B2487E"/>
    <w:rsid w:val="00B3273F"/>
    <w:rsid w:val="00B35C95"/>
    <w:rsid w:val="00B42B8A"/>
    <w:rsid w:val="00B4723E"/>
    <w:rsid w:val="00B907D6"/>
    <w:rsid w:val="00B9594C"/>
    <w:rsid w:val="00BA2846"/>
    <w:rsid w:val="00BB18E7"/>
    <w:rsid w:val="00BB7CAE"/>
    <w:rsid w:val="00BC452E"/>
    <w:rsid w:val="00BC5D2E"/>
    <w:rsid w:val="00BD16B2"/>
    <w:rsid w:val="00BD5AF0"/>
    <w:rsid w:val="00BF668B"/>
    <w:rsid w:val="00C0342B"/>
    <w:rsid w:val="00C06199"/>
    <w:rsid w:val="00C15A95"/>
    <w:rsid w:val="00C20B98"/>
    <w:rsid w:val="00C2362C"/>
    <w:rsid w:val="00C24B8C"/>
    <w:rsid w:val="00C36B36"/>
    <w:rsid w:val="00C46BBC"/>
    <w:rsid w:val="00C57F5E"/>
    <w:rsid w:val="00C708EB"/>
    <w:rsid w:val="00C81577"/>
    <w:rsid w:val="00C87175"/>
    <w:rsid w:val="00C873EE"/>
    <w:rsid w:val="00CA5245"/>
    <w:rsid w:val="00CA6470"/>
    <w:rsid w:val="00CD18C6"/>
    <w:rsid w:val="00CD6647"/>
    <w:rsid w:val="00CE3AEE"/>
    <w:rsid w:val="00CF2D67"/>
    <w:rsid w:val="00CF53F3"/>
    <w:rsid w:val="00CF64B4"/>
    <w:rsid w:val="00D00945"/>
    <w:rsid w:val="00D00D2E"/>
    <w:rsid w:val="00D01F26"/>
    <w:rsid w:val="00D05CB9"/>
    <w:rsid w:val="00D07249"/>
    <w:rsid w:val="00D1720A"/>
    <w:rsid w:val="00D21A53"/>
    <w:rsid w:val="00D21FE1"/>
    <w:rsid w:val="00D2601A"/>
    <w:rsid w:val="00D32EB2"/>
    <w:rsid w:val="00D3671C"/>
    <w:rsid w:val="00D43698"/>
    <w:rsid w:val="00D473AB"/>
    <w:rsid w:val="00D52944"/>
    <w:rsid w:val="00D56B1B"/>
    <w:rsid w:val="00D73135"/>
    <w:rsid w:val="00D93BD7"/>
    <w:rsid w:val="00D9788C"/>
    <w:rsid w:val="00DB13B5"/>
    <w:rsid w:val="00DB7A45"/>
    <w:rsid w:val="00DB7D59"/>
    <w:rsid w:val="00DC0750"/>
    <w:rsid w:val="00DC3676"/>
    <w:rsid w:val="00DE35FB"/>
    <w:rsid w:val="00DF19B7"/>
    <w:rsid w:val="00E0267A"/>
    <w:rsid w:val="00E243AA"/>
    <w:rsid w:val="00E35E22"/>
    <w:rsid w:val="00E461CF"/>
    <w:rsid w:val="00E574DB"/>
    <w:rsid w:val="00E620FF"/>
    <w:rsid w:val="00E6325A"/>
    <w:rsid w:val="00E655FB"/>
    <w:rsid w:val="00E75EA9"/>
    <w:rsid w:val="00E90BA8"/>
    <w:rsid w:val="00E92B2F"/>
    <w:rsid w:val="00EA14A7"/>
    <w:rsid w:val="00EA2004"/>
    <w:rsid w:val="00EA20B5"/>
    <w:rsid w:val="00EA23B1"/>
    <w:rsid w:val="00EA2BF0"/>
    <w:rsid w:val="00EA3C4C"/>
    <w:rsid w:val="00EA4CB8"/>
    <w:rsid w:val="00EB65CD"/>
    <w:rsid w:val="00EC7699"/>
    <w:rsid w:val="00ED3C3C"/>
    <w:rsid w:val="00ED7185"/>
    <w:rsid w:val="00ED7849"/>
    <w:rsid w:val="00EF54B1"/>
    <w:rsid w:val="00F02F77"/>
    <w:rsid w:val="00F108A7"/>
    <w:rsid w:val="00F16EF0"/>
    <w:rsid w:val="00F260E5"/>
    <w:rsid w:val="00F306F6"/>
    <w:rsid w:val="00F33377"/>
    <w:rsid w:val="00F34E79"/>
    <w:rsid w:val="00F43684"/>
    <w:rsid w:val="00F46482"/>
    <w:rsid w:val="00F46FC2"/>
    <w:rsid w:val="00F5026A"/>
    <w:rsid w:val="00F6747D"/>
    <w:rsid w:val="00F702CC"/>
    <w:rsid w:val="00F73941"/>
    <w:rsid w:val="00F772E3"/>
    <w:rsid w:val="00F77364"/>
    <w:rsid w:val="00F84B2C"/>
    <w:rsid w:val="00F84B76"/>
    <w:rsid w:val="00F92C87"/>
    <w:rsid w:val="00F94FDD"/>
    <w:rsid w:val="00F96143"/>
    <w:rsid w:val="00FA009B"/>
    <w:rsid w:val="00FA1762"/>
    <w:rsid w:val="00FA30AA"/>
    <w:rsid w:val="00FA6A1F"/>
    <w:rsid w:val="00FB058B"/>
    <w:rsid w:val="00FC151A"/>
    <w:rsid w:val="00FC2253"/>
    <w:rsid w:val="00FD5E97"/>
    <w:rsid w:val="00FD7EC0"/>
    <w:rsid w:val="00FE2511"/>
    <w:rsid w:val="00F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EAD9"/>
  <w15:docId w15:val="{5DE5DC07-E0DE-4124-819A-F3474ADF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right="4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E7AD-E53A-44E7-B1C7-3E1D09C4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6249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12</cp:revision>
  <cp:lastPrinted>2020-11-11T15:04:00Z</cp:lastPrinted>
  <dcterms:created xsi:type="dcterms:W3CDTF">2020-11-13T13:30:00Z</dcterms:created>
  <dcterms:modified xsi:type="dcterms:W3CDTF">2020-11-24T08:52:00Z</dcterms:modified>
</cp:coreProperties>
</file>