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4785A698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2F0AC4">
        <w:rPr>
          <w:rFonts w:ascii="Times New Roman" w:eastAsia="Times New Roman" w:hAnsi="Times New Roman"/>
          <w:sz w:val="24"/>
          <w:szCs w:val="24"/>
          <w:lang w:eastAsia="uk-UA" w:bidi="uk-UA"/>
        </w:rPr>
        <w:t>15</w:t>
      </w:r>
      <w:r w:rsidR="00A91AF9"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2F0AC4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F0AC4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002365">
        <w:rPr>
          <w:rFonts w:ascii="Times New Roman" w:eastAsia="Times New Roman" w:hAnsi="Times New Roman"/>
          <w:color w:val="FF0000"/>
          <w:sz w:val="24"/>
          <w:szCs w:val="24"/>
          <w:lang w:eastAsia="uk-UA" w:bidi="uk-UA"/>
        </w:rPr>
        <w:t>163</w:t>
      </w:r>
      <w:bookmarkStart w:id="0" w:name="_GoBack"/>
      <w:bookmarkEnd w:id="0"/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7915EBC3" w14:textId="42DB60F9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  <w:r w:rsidR="006A7920" w:rsidRPr="006A7920">
        <w:rPr>
          <w:rFonts w:ascii="Times New Roman" w:hAnsi="Times New Roman"/>
          <w:b/>
          <w:sz w:val="28"/>
          <w:szCs w:val="28"/>
        </w:rPr>
        <w:t xml:space="preserve">контролера І категорії </w:t>
      </w:r>
      <w:r w:rsidR="006D17A6">
        <w:rPr>
          <w:rFonts w:ascii="Times New Roman" w:hAnsi="Times New Roman"/>
          <w:b/>
          <w:sz w:val="28"/>
          <w:szCs w:val="28"/>
        </w:rPr>
        <w:t>2</w:t>
      </w:r>
      <w:r w:rsidR="006A7920" w:rsidRPr="006A7920">
        <w:rPr>
          <w:rFonts w:ascii="Times New Roman" w:hAnsi="Times New Roman"/>
          <w:b/>
          <w:sz w:val="28"/>
          <w:szCs w:val="28"/>
        </w:rPr>
        <w:t xml:space="preserve"> відділення </w:t>
      </w:r>
      <w:r w:rsidR="00891DCE">
        <w:rPr>
          <w:rFonts w:ascii="Times New Roman" w:hAnsi="Times New Roman"/>
          <w:b/>
          <w:sz w:val="28"/>
          <w:szCs w:val="28"/>
        </w:rPr>
        <w:t>9</w:t>
      </w:r>
      <w:r w:rsidR="006A7920" w:rsidRPr="006A7920">
        <w:rPr>
          <w:rFonts w:ascii="Times New Roman" w:hAnsi="Times New Roman"/>
          <w:b/>
          <w:sz w:val="28"/>
          <w:szCs w:val="28"/>
        </w:rPr>
        <w:t xml:space="preserve"> взводу охорони 2 підрозділу охорони </w:t>
      </w:r>
      <w:r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0CADF09C" w:rsidR="00CB1FD1" w:rsidRPr="00C718C5" w:rsidRDefault="006A7920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6D17A6">
        <w:rPr>
          <w:rFonts w:ascii="Times New Roman" w:hAnsi="Times New Roman"/>
          <w:b/>
          <w:color w:val="FF0000"/>
          <w:sz w:val="28"/>
          <w:szCs w:val="28"/>
        </w:rPr>
        <w:t>смт. Талалаївка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65645E28" w:rsidR="00D33F31" w:rsidRDefault="00D33F31" w:rsidP="005B61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B6169">
        <w:rPr>
          <w:rFonts w:ascii="Times New Roman" w:hAnsi="Times New Roman"/>
          <w:b/>
          <w:sz w:val="28"/>
          <w:szCs w:val="28"/>
        </w:rPr>
        <w:t>повноваження</w:t>
      </w:r>
      <w:r w:rsidRPr="00C718C5">
        <w:rPr>
          <w:rFonts w:ascii="Times New Roman" w:hAnsi="Times New Roman"/>
          <w:b/>
          <w:sz w:val="28"/>
          <w:szCs w:val="28"/>
        </w:rPr>
        <w:t xml:space="preserve"> контролера І категорії: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6EC736E6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 xml:space="preserve">1) </w:t>
      </w:r>
      <w:r w:rsidRPr="00501F11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по забезпеченню охорони судів, органів та установ системи правосуддя</w:t>
      </w:r>
      <w:r w:rsidRPr="00501F11">
        <w:rPr>
          <w:rFonts w:ascii="Times New Roman" w:hAnsi="Times New Roman"/>
          <w:sz w:val="28"/>
          <w:szCs w:val="28"/>
        </w:rPr>
        <w:t>;</w:t>
      </w:r>
    </w:p>
    <w:p w14:paraId="6B92154E" w14:textId="0308A2AF" w:rsidR="00501F11" w:rsidRPr="00501F11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>2)</w:t>
      </w:r>
      <w:r w:rsidR="00B04D1E">
        <w:rPr>
          <w:rFonts w:ascii="Times New Roman" w:hAnsi="Times New Roman"/>
          <w:sz w:val="28"/>
          <w:szCs w:val="28"/>
        </w:rPr>
        <w:t> </w:t>
      </w:r>
      <w:r w:rsidRPr="00501F11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5E4845FF" w14:textId="77777777" w:rsidR="00501F11" w:rsidRPr="00501F11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n1897"/>
      <w:bookmarkEnd w:id="2"/>
      <w:r w:rsidRPr="00501F11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15B240CC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n1898"/>
      <w:bookmarkEnd w:id="3"/>
      <w:r w:rsidRPr="00501F11">
        <w:rPr>
          <w:rFonts w:ascii="Times New Roman" w:hAnsi="Times New Roman"/>
          <w:sz w:val="28"/>
          <w:szCs w:val="28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26CA0EE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501F11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системи правосуддя.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E53800A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9F31FD" w:rsidRPr="00C718C5">
        <w:rPr>
          <w:rFonts w:ascii="Times New Roman" w:hAnsi="Times New Roman"/>
          <w:sz w:val="28"/>
        </w:rPr>
        <w:t>260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lastRenderedPageBreak/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4D7D017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15 вересня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03 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656CC03" w14:textId="77777777" w:rsidR="00DA4554" w:rsidRPr="00274D88" w:rsidRDefault="00DA4554" w:rsidP="007713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6ADD57C5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487D01C0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7EB8ECDA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176359B0" w14:textId="77777777" w:rsidR="00DA4554" w:rsidRPr="00274D88" w:rsidRDefault="00DA4554" w:rsidP="0077133D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59747D64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64FB57F7" w14:textId="77777777" w:rsidR="00DA4554" w:rsidRPr="00274D88" w:rsidRDefault="00DA4554" w:rsidP="007713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196A9B7D" w14:textId="77777777" w:rsidR="00DA4554" w:rsidRPr="00C718C5" w:rsidRDefault="00DA4554" w:rsidP="007713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06 жовтня</w:t>
      </w:r>
      <w:r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>
        <w:rPr>
          <w:rFonts w:ascii="Times New Roman" w:eastAsia="Times New Roman" w:hAnsi="Times New Roman"/>
          <w:sz w:val="28"/>
          <w:lang w:eastAsia="uk-UA" w:bidi="uk-UA"/>
        </w:rPr>
        <w:t>в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9DBCE72" w14:textId="77777777" w:rsidR="00DA4554" w:rsidRPr="00C718C5" w:rsidRDefault="00DA4554" w:rsidP="0077133D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708BC28E" w14:textId="77777777" w:rsidR="00DA4554" w:rsidRPr="00C718C5" w:rsidRDefault="00DA4554" w:rsidP="00DA455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A10B02B" w:rsidR="00AB6B93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D436B56" w14:textId="77777777" w:rsidR="00DA4554" w:rsidRPr="00C718C5" w:rsidRDefault="00DA4554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77777777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6CE872B3" w14:textId="482D7B73" w:rsidR="005F5886" w:rsidRPr="00C718C5" w:rsidRDefault="005F5886" w:rsidP="005F5886">
            <w:pPr>
              <w:pStyle w:val="af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718C5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</w:p>
          <w:p w14:paraId="430CADDA" w14:textId="13E5D2A2" w:rsidR="00AB6B93" w:rsidRPr="00C80C9C" w:rsidRDefault="00601508" w:rsidP="00AB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0C9C">
              <w:rPr>
                <w:rFonts w:ascii="Times New Roman" w:hAnsi="Times New Roman"/>
                <w:b/>
                <w:sz w:val="28"/>
                <w:szCs w:val="28"/>
              </w:rPr>
              <w:t xml:space="preserve">(надати </w:t>
            </w:r>
            <w:r w:rsidR="00F50ADC" w:rsidRPr="00C80C9C">
              <w:rPr>
                <w:rFonts w:ascii="Times New Roman" w:hAnsi="Times New Roman"/>
                <w:b/>
                <w:sz w:val="28"/>
                <w:szCs w:val="28"/>
              </w:rPr>
              <w:t>підтверджуючи документи)</w:t>
            </w:r>
            <w:r w:rsidR="00C80C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289E1" w14:textId="77777777" w:rsidR="00A53FC1" w:rsidRDefault="00A53FC1" w:rsidP="000B43BC">
      <w:pPr>
        <w:spacing w:after="0" w:line="240" w:lineRule="auto"/>
      </w:pPr>
      <w:r>
        <w:separator/>
      </w:r>
    </w:p>
  </w:endnote>
  <w:endnote w:type="continuationSeparator" w:id="0">
    <w:p w14:paraId="72802893" w14:textId="77777777" w:rsidR="00A53FC1" w:rsidRDefault="00A53FC1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A6012" w14:textId="77777777" w:rsidR="00A53FC1" w:rsidRDefault="00A53FC1" w:rsidP="000B43BC">
      <w:pPr>
        <w:spacing w:after="0" w:line="240" w:lineRule="auto"/>
      </w:pPr>
      <w:r>
        <w:separator/>
      </w:r>
    </w:p>
  </w:footnote>
  <w:footnote w:type="continuationSeparator" w:id="0">
    <w:p w14:paraId="53BA1AB8" w14:textId="77777777" w:rsidR="00A53FC1" w:rsidRDefault="00A53FC1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038C2B2D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365" w:rsidRPr="00002365">
          <w:rPr>
            <w:noProof/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02365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5E0C"/>
    <w:rsid w:val="002B05D2"/>
    <w:rsid w:val="002C10E4"/>
    <w:rsid w:val="002C1EF8"/>
    <w:rsid w:val="002D136A"/>
    <w:rsid w:val="002E1D2C"/>
    <w:rsid w:val="002E361D"/>
    <w:rsid w:val="002F0AC4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31EF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B6169"/>
    <w:rsid w:val="005D0E38"/>
    <w:rsid w:val="005E14EB"/>
    <w:rsid w:val="005E1905"/>
    <w:rsid w:val="005E4472"/>
    <w:rsid w:val="005E4AB4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A7920"/>
    <w:rsid w:val="006C2A4F"/>
    <w:rsid w:val="006C6697"/>
    <w:rsid w:val="006D1099"/>
    <w:rsid w:val="006D17A6"/>
    <w:rsid w:val="006F5E13"/>
    <w:rsid w:val="00711641"/>
    <w:rsid w:val="007166E4"/>
    <w:rsid w:val="00716AB0"/>
    <w:rsid w:val="00742186"/>
    <w:rsid w:val="00752DDC"/>
    <w:rsid w:val="007616B2"/>
    <w:rsid w:val="007652C8"/>
    <w:rsid w:val="00790CBF"/>
    <w:rsid w:val="007A2AFB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91DC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3FC1"/>
    <w:rsid w:val="00A57D12"/>
    <w:rsid w:val="00A90ADE"/>
    <w:rsid w:val="00A91AF9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266EF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0687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0983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4554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F376-729D-4EA4-801A-EBD02DE2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50</cp:revision>
  <cp:lastPrinted>2019-10-15T12:40:00Z</cp:lastPrinted>
  <dcterms:created xsi:type="dcterms:W3CDTF">2020-10-12T08:55:00Z</dcterms:created>
  <dcterms:modified xsi:type="dcterms:W3CDTF">2022-09-16T07:20:00Z</dcterms:modified>
</cp:coreProperties>
</file>